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MESSAGE 65</w:t>
      </w:r>
    </w:p>
    <w:p w:rsidR="00000000" w:rsidDel="00000000" w:rsidP="00000000" w:rsidRDefault="00000000" w:rsidRPr="00000000">
      <w:pPr>
        <w:contextualSpacing w:val="0"/>
        <w:jc w:val="center"/>
      </w:pPr>
      <w:r w:rsidDel="00000000" w:rsidR="00000000" w:rsidRPr="00000000">
        <w:rPr>
          <w:b w:val="1"/>
          <w:rtl w:val="0"/>
        </w:rPr>
        <w:t xml:space="preserve">THE VEIL OVER THE GLORY OF THE MINISTRY OF CONDEMNATION AND DEATH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ministry of Moses was a ministry of ____________ and ____________.</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chapter in the Bible did Paul speak of the ministry of Moses, and what was this an exposition of (that is, what chapter of the Old Testament was this picture of Moses’ ministry from?)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was the glory of the ministry of Moses, and how did it contrast with the glory of Paul’s ministry?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Why should we not despise Moses’ ministry?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the significance of the veil over Moses’ face, and the result this had on Moses’ ministry to the children of Israel.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how today the glory of the gospel of grace can be veiled from us.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When a faithful servant speaks to the people of God, explain how the servant could be “heavy” iin speaking to the people of God, yet happy having fellowship with God.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Explain how we can be transformed into the same image from glory to glory as revealed in 2 Cor 3.</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Why is our heart so important for us today in the Lord’s Recovery as believers in the New Testament age?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experiential meaning of being under the Old Testament versus the New Testament?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MESSAGE 66</w:t>
      </w:r>
    </w:p>
    <w:p w:rsidR="00000000" w:rsidDel="00000000" w:rsidP="00000000" w:rsidRDefault="00000000" w:rsidRPr="00000000">
      <w:pPr>
        <w:contextualSpacing w:val="0"/>
        <w:jc w:val="center"/>
      </w:pPr>
      <w:r w:rsidDel="00000000" w:rsidR="00000000" w:rsidRPr="00000000">
        <w:rPr>
          <w:b w:val="1"/>
          <w:rtl w:val="0"/>
        </w:rPr>
        <w:t xml:space="preserve">THE ORDINANCES OF THE LAW CONCERNING THE WORSHIP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how the book of Exodus reveals God’s all-inclusive redemption and salvation in our experience.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can we say that the law contains much more than the 10 Commandments?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the second part of Exodus and in Lev, Num and Deut we have the ___________ to the law as well as the __________ of the law.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Exo 20:22 related to the worship of God and the blessing and visitation of God?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Exo 20:23 related to the worship of God?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is Exo 20:24-25 related to the work of God?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offerings does Exo 20:24 mention, and why? How are these related to the proper worship of God?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significance of idols of gold and silver in verse 23, and how is it related to our worship of God?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Explain how the altar in the Old Testament is a shadow of the cross in the New Testament?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is the name of the Lord so important in the context of Exo 20:22-26 and in the worship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